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C54B" w14:textId="6DB4E45B" w:rsidR="00A00953" w:rsidRPr="00220C3A" w:rsidRDefault="002B2415" w:rsidP="00287431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  <w:r w:rsidRPr="00220C3A">
        <w:rPr>
          <w:rFonts w:cstheme="minorHAnsi"/>
          <w:b/>
          <w:bCs/>
          <w:sz w:val="28"/>
          <w:szCs w:val="28"/>
        </w:rPr>
        <w:t xml:space="preserve">Teacher </w:t>
      </w:r>
      <w:r w:rsidR="008D01A6" w:rsidRPr="00220C3A">
        <w:rPr>
          <w:rFonts w:cstheme="minorHAnsi"/>
          <w:b/>
          <w:bCs/>
          <w:sz w:val="28"/>
          <w:szCs w:val="28"/>
        </w:rPr>
        <w:t xml:space="preserve">Education Completer </w:t>
      </w:r>
      <w:r w:rsidR="003A5D1E" w:rsidRPr="00220C3A">
        <w:rPr>
          <w:rFonts w:cstheme="minorHAnsi"/>
          <w:b/>
          <w:bCs/>
          <w:sz w:val="28"/>
          <w:szCs w:val="28"/>
        </w:rPr>
        <w:t xml:space="preserve">Employer </w:t>
      </w:r>
      <w:r w:rsidR="00220C3A">
        <w:rPr>
          <w:rFonts w:cstheme="minorHAnsi"/>
          <w:b/>
          <w:bCs/>
          <w:sz w:val="28"/>
          <w:szCs w:val="28"/>
        </w:rPr>
        <w:t xml:space="preserve">Satisfaction </w:t>
      </w:r>
      <w:r w:rsidR="00A00953" w:rsidRPr="00220C3A">
        <w:rPr>
          <w:rFonts w:cstheme="minorHAnsi"/>
          <w:b/>
          <w:bCs/>
          <w:sz w:val="28"/>
          <w:szCs w:val="28"/>
        </w:rPr>
        <w:t>Survey</w:t>
      </w:r>
      <w:r w:rsidR="006538B3" w:rsidRPr="00220C3A">
        <w:rPr>
          <w:rFonts w:cstheme="minorHAnsi"/>
          <w:b/>
          <w:bCs/>
          <w:sz w:val="28"/>
          <w:szCs w:val="28"/>
        </w:rPr>
        <w:t xml:space="preserve"> </w:t>
      </w:r>
      <w:r w:rsidR="000E46F0" w:rsidRPr="00220C3A">
        <w:rPr>
          <w:rFonts w:cstheme="minorHAnsi"/>
          <w:b/>
          <w:bCs/>
          <w:sz w:val="28"/>
          <w:szCs w:val="28"/>
        </w:rPr>
        <w:t>for Educators</w:t>
      </w:r>
      <w:r w:rsidR="00596712" w:rsidRPr="00220C3A">
        <w:rPr>
          <w:rFonts w:cstheme="minorHAnsi"/>
          <w:b/>
          <w:bCs/>
          <w:sz w:val="28"/>
          <w:szCs w:val="28"/>
        </w:rPr>
        <w:t xml:space="preserve"> Completing Teacher Education Program </w:t>
      </w:r>
      <w:r w:rsidR="008D01A6" w:rsidRPr="00220C3A">
        <w:rPr>
          <w:rFonts w:cstheme="minorHAnsi"/>
          <w:b/>
          <w:bCs/>
          <w:sz w:val="28"/>
          <w:szCs w:val="28"/>
        </w:rPr>
        <w:t>(</w:t>
      </w:r>
      <w:r w:rsidR="00622041" w:rsidRPr="00220C3A">
        <w:rPr>
          <w:rFonts w:cstheme="minorHAnsi"/>
          <w:b/>
          <w:bCs/>
          <w:sz w:val="28"/>
          <w:szCs w:val="28"/>
        </w:rPr>
        <w:t>20</w:t>
      </w:r>
      <w:r w:rsidR="00117857" w:rsidRPr="00220C3A">
        <w:rPr>
          <w:rFonts w:cstheme="minorHAnsi"/>
          <w:b/>
          <w:bCs/>
          <w:sz w:val="28"/>
          <w:szCs w:val="28"/>
        </w:rPr>
        <w:t>20</w:t>
      </w:r>
      <w:r w:rsidR="00622041" w:rsidRPr="00220C3A">
        <w:rPr>
          <w:rFonts w:cstheme="minorHAnsi"/>
          <w:b/>
          <w:bCs/>
          <w:sz w:val="28"/>
          <w:szCs w:val="28"/>
        </w:rPr>
        <w:t>-202</w:t>
      </w:r>
      <w:r w:rsidR="002D6479">
        <w:rPr>
          <w:rFonts w:cstheme="minorHAnsi"/>
          <w:b/>
          <w:bCs/>
          <w:sz w:val="28"/>
          <w:szCs w:val="28"/>
        </w:rPr>
        <w:t>1</w:t>
      </w:r>
      <w:r w:rsidR="008D01A6" w:rsidRPr="00220C3A">
        <w:rPr>
          <w:rFonts w:cstheme="minorHAnsi"/>
          <w:b/>
          <w:bCs/>
          <w:sz w:val="28"/>
          <w:szCs w:val="28"/>
        </w:rPr>
        <w:t>)</w:t>
      </w:r>
    </w:p>
    <w:p w14:paraId="3D5ED751" w14:textId="77777777" w:rsidR="000E46F0" w:rsidRPr="00E87895" w:rsidRDefault="000E46F0" w:rsidP="00A009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404F9FF" w14:textId="77777777" w:rsidR="00B32432" w:rsidRPr="00287431" w:rsidRDefault="00B32432" w:rsidP="00B32432">
      <w:pPr>
        <w:jc w:val="both"/>
        <w:rPr>
          <w:rFonts w:cstheme="minorHAnsi"/>
          <w:b/>
          <w:sz w:val="24"/>
          <w:szCs w:val="24"/>
        </w:rPr>
      </w:pPr>
      <w:r w:rsidRPr="00287431">
        <w:rPr>
          <w:rFonts w:cstheme="minorHAnsi"/>
          <w:b/>
          <w:sz w:val="24"/>
          <w:szCs w:val="24"/>
        </w:rPr>
        <w:t>Description of Data:</w:t>
      </w:r>
    </w:p>
    <w:p w14:paraId="69C24D38" w14:textId="4B129D8E" w:rsidR="00B32432" w:rsidRPr="00287431" w:rsidRDefault="00B32432" w:rsidP="00B32432">
      <w:pPr>
        <w:jc w:val="both"/>
        <w:rPr>
          <w:rFonts w:cstheme="minorHAnsi"/>
          <w:bCs/>
          <w:sz w:val="24"/>
          <w:szCs w:val="24"/>
        </w:rPr>
      </w:pPr>
      <w:r w:rsidRPr="00287431">
        <w:rPr>
          <w:rFonts w:cstheme="minorHAnsi"/>
          <w:bCs/>
          <w:sz w:val="24"/>
          <w:szCs w:val="24"/>
        </w:rPr>
        <w:t xml:space="preserve">To gather information on the quality of preparation provided by their educator preparation providers, the Ohio Department of Higher Education </w:t>
      </w:r>
      <w:r w:rsidR="00F01D3C" w:rsidRPr="00287431">
        <w:rPr>
          <w:rFonts w:cstheme="minorHAnsi"/>
          <w:bCs/>
          <w:sz w:val="24"/>
          <w:szCs w:val="24"/>
        </w:rPr>
        <w:t>created the</w:t>
      </w:r>
      <w:r w:rsidRPr="00287431">
        <w:rPr>
          <w:rFonts w:cstheme="minorHAnsi"/>
          <w:bCs/>
          <w:sz w:val="24"/>
          <w:szCs w:val="24"/>
        </w:rPr>
        <w:t xml:space="preserve"> survey</w:t>
      </w:r>
      <w:r w:rsidR="00F01D3C" w:rsidRPr="00287431">
        <w:rPr>
          <w:rFonts w:cstheme="minorHAnsi"/>
          <w:bCs/>
          <w:sz w:val="24"/>
          <w:szCs w:val="24"/>
        </w:rPr>
        <w:t>. The survey was distributed by the EPP</w:t>
      </w:r>
      <w:r w:rsidRPr="00287431">
        <w:rPr>
          <w:rFonts w:cstheme="minorHAnsi"/>
          <w:bCs/>
          <w:sz w:val="24"/>
          <w:szCs w:val="24"/>
        </w:rPr>
        <w:t xml:space="preserve"> to employers of </w:t>
      </w:r>
      <w:r w:rsidR="006259A2">
        <w:rPr>
          <w:rFonts w:cstheme="minorHAnsi"/>
          <w:bCs/>
          <w:sz w:val="24"/>
          <w:szCs w:val="24"/>
        </w:rPr>
        <w:t>UA completers with license received in 20</w:t>
      </w:r>
      <w:r w:rsidR="003E2B4A">
        <w:rPr>
          <w:rFonts w:cstheme="minorHAnsi"/>
          <w:bCs/>
          <w:sz w:val="24"/>
          <w:szCs w:val="24"/>
        </w:rPr>
        <w:t>20</w:t>
      </w:r>
      <w:r w:rsidR="002D6479">
        <w:rPr>
          <w:rFonts w:cstheme="minorHAnsi"/>
          <w:bCs/>
          <w:sz w:val="24"/>
          <w:szCs w:val="24"/>
        </w:rPr>
        <w:t>, and 21</w:t>
      </w:r>
      <w:r w:rsidRPr="00287431">
        <w:rPr>
          <w:rFonts w:cstheme="minorHAnsi"/>
          <w:bCs/>
          <w:sz w:val="24"/>
          <w:szCs w:val="24"/>
        </w:rPr>
        <w:t xml:space="preserve"> Questions on the survey are aligned with Ohio's Learning Standards, Ohio licensure requirements, and elements of national accreditation. A total of </w:t>
      </w:r>
      <w:r w:rsidR="00F01D3C" w:rsidRPr="00287431">
        <w:rPr>
          <w:rFonts w:cstheme="minorHAnsi"/>
          <w:bCs/>
          <w:sz w:val="24"/>
          <w:szCs w:val="24"/>
        </w:rPr>
        <w:t>35</w:t>
      </w:r>
      <w:r w:rsidRPr="00287431">
        <w:rPr>
          <w:rFonts w:cstheme="minorHAnsi"/>
          <w:bCs/>
          <w:sz w:val="24"/>
          <w:szCs w:val="24"/>
        </w:rPr>
        <w:t xml:space="preserve"> respondents completed </w:t>
      </w:r>
      <w:r w:rsidR="006A3F42" w:rsidRPr="00287431">
        <w:rPr>
          <w:rFonts w:cstheme="minorHAnsi"/>
          <w:bCs/>
          <w:sz w:val="24"/>
          <w:szCs w:val="24"/>
        </w:rPr>
        <w:t>the survey during September and October 20</w:t>
      </w:r>
      <w:r w:rsidR="00E91805" w:rsidRPr="00287431">
        <w:rPr>
          <w:rFonts w:cstheme="minorHAnsi"/>
          <w:bCs/>
          <w:sz w:val="24"/>
          <w:szCs w:val="24"/>
        </w:rPr>
        <w:t>21 in the University Qualtrics system</w:t>
      </w:r>
      <w:r w:rsidR="003C3811" w:rsidRPr="00287431">
        <w:rPr>
          <w:rFonts w:cstheme="minorHAnsi"/>
          <w:bCs/>
          <w:sz w:val="24"/>
          <w:szCs w:val="24"/>
        </w:rPr>
        <w:t xml:space="preserve">. </w:t>
      </w:r>
      <w:r w:rsidR="00190B46" w:rsidRPr="00287431">
        <w:rPr>
          <w:rFonts w:cstheme="minorHAnsi"/>
          <w:bCs/>
          <w:sz w:val="24"/>
          <w:szCs w:val="24"/>
        </w:rPr>
        <w:t>The employers were also asked to respond to open-ended questions</w:t>
      </w:r>
      <w:r w:rsidR="00994644" w:rsidRPr="00287431">
        <w:rPr>
          <w:rFonts w:cstheme="minorHAnsi"/>
          <w:bCs/>
          <w:sz w:val="24"/>
          <w:szCs w:val="24"/>
        </w:rPr>
        <w:t xml:space="preserve">. The results are presented following </w:t>
      </w:r>
      <w:r w:rsidR="00FA37D3" w:rsidRPr="00287431">
        <w:rPr>
          <w:rFonts w:cstheme="minorHAnsi"/>
          <w:bCs/>
          <w:sz w:val="24"/>
          <w:szCs w:val="24"/>
        </w:rPr>
        <w:t xml:space="preserve">quantitative survey results. </w:t>
      </w:r>
      <w:r w:rsidR="003C3811" w:rsidRPr="00287431">
        <w:rPr>
          <w:rFonts w:cstheme="minorHAnsi"/>
          <w:bCs/>
          <w:sz w:val="24"/>
          <w:szCs w:val="24"/>
        </w:rPr>
        <w:t xml:space="preserve"> </w:t>
      </w:r>
      <w:r w:rsidR="00E91805" w:rsidRPr="00287431">
        <w:rPr>
          <w:rFonts w:cstheme="minorHAnsi"/>
          <w:bCs/>
          <w:sz w:val="24"/>
          <w:szCs w:val="24"/>
        </w:rPr>
        <w:t xml:space="preserve"> </w:t>
      </w:r>
    </w:p>
    <w:p w14:paraId="7B10E583" w14:textId="5C40AD34" w:rsidR="00E87895" w:rsidRPr="00287431" w:rsidRDefault="00E87895" w:rsidP="000B3855">
      <w:pPr>
        <w:ind w:firstLine="900"/>
        <w:jc w:val="both"/>
        <w:rPr>
          <w:rFonts w:cstheme="minorHAnsi"/>
          <w:b/>
          <w:sz w:val="24"/>
          <w:szCs w:val="24"/>
        </w:rPr>
      </w:pPr>
    </w:p>
    <w:p w14:paraId="729CC9F8" w14:textId="05DB1044" w:rsidR="00E87895" w:rsidRPr="00287431" w:rsidRDefault="00FA37D3" w:rsidP="00E87895">
      <w:pPr>
        <w:jc w:val="both"/>
        <w:rPr>
          <w:rFonts w:cstheme="minorHAnsi"/>
          <w:b/>
          <w:sz w:val="24"/>
          <w:szCs w:val="24"/>
        </w:rPr>
      </w:pPr>
      <w:r w:rsidRPr="00287431">
        <w:rPr>
          <w:rFonts w:cstheme="minorHAnsi"/>
          <w:b/>
          <w:sz w:val="24"/>
          <w:szCs w:val="24"/>
        </w:rPr>
        <w:t>Data analysis</w:t>
      </w:r>
      <w:r w:rsidR="004E705E">
        <w:rPr>
          <w:rFonts w:cstheme="minorHAnsi"/>
          <w:b/>
          <w:sz w:val="24"/>
          <w:szCs w:val="24"/>
        </w:rPr>
        <w:t>:</w:t>
      </w:r>
    </w:p>
    <w:p w14:paraId="3CB5B3EC" w14:textId="7D9427DA" w:rsidR="00FA37D3" w:rsidRPr="00287431" w:rsidRDefault="00FA37D3" w:rsidP="00340E2F">
      <w:pPr>
        <w:jc w:val="both"/>
        <w:rPr>
          <w:rFonts w:cstheme="minorHAnsi"/>
          <w:bCs/>
          <w:sz w:val="24"/>
          <w:szCs w:val="24"/>
        </w:rPr>
      </w:pPr>
      <w:r w:rsidRPr="00287431">
        <w:rPr>
          <w:rFonts w:cstheme="minorHAnsi"/>
          <w:bCs/>
          <w:sz w:val="24"/>
          <w:szCs w:val="24"/>
        </w:rPr>
        <w:t xml:space="preserve">The employers responded positively to the completers </w:t>
      </w:r>
      <w:r w:rsidR="006D3A1D" w:rsidRPr="00287431">
        <w:rPr>
          <w:rFonts w:cstheme="minorHAnsi"/>
          <w:bCs/>
          <w:sz w:val="24"/>
          <w:szCs w:val="24"/>
        </w:rPr>
        <w:t xml:space="preserve">with the average of 3.38 </w:t>
      </w:r>
      <w:r w:rsidR="004C1577">
        <w:rPr>
          <w:rFonts w:cstheme="minorHAnsi"/>
          <w:bCs/>
          <w:sz w:val="24"/>
          <w:szCs w:val="24"/>
        </w:rPr>
        <w:t>and 3.50</w:t>
      </w:r>
      <w:r w:rsidR="0084175A">
        <w:rPr>
          <w:rFonts w:cstheme="minorHAnsi"/>
          <w:bCs/>
          <w:sz w:val="24"/>
          <w:szCs w:val="24"/>
        </w:rPr>
        <w:t xml:space="preserve"> o</w:t>
      </w:r>
      <w:r w:rsidR="006D3A1D" w:rsidRPr="00287431">
        <w:rPr>
          <w:rFonts w:cstheme="minorHAnsi"/>
          <w:bCs/>
          <w:sz w:val="24"/>
          <w:szCs w:val="24"/>
        </w:rPr>
        <w:t xml:space="preserve">n </w:t>
      </w:r>
      <w:r w:rsidR="0084175A">
        <w:rPr>
          <w:rFonts w:cstheme="minorHAnsi"/>
          <w:bCs/>
          <w:sz w:val="24"/>
          <w:szCs w:val="24"/>
        </w:rPr>
        <w:t xml:space="preserve">a </w:t>
      </w:r>
      <w:r w:rsidR="006D3A1D" w:rsidRPr="00287431">
        <w:rPr>
          <w:rFonts w:cstheme="minorHAnsi"/>
          <w:bCs/>
          <w:sz w:val="24"/>
          <w:szCs w:val="24"/>
        </w:rPr>
        <w:t xml:space="preserve">1-4 Likert scale. </w:t>
      </w:r>
      <w:r w:rsidR="00753329" w:rsidRPr="00287431">
        <w:rPr>
          <w:rFonts w:cstheme="minorHAnsi"/>
          <w:bCs/>
          <w:sz w:val="24"/>
          <w:szCs w:val="24"/>
        </w:rPr>
        <w:t xml:space="preserve">All the items are at or above 3.0 which is the range of agree to strongly agree. </w:t>
      </w:r>
      <w:r w:rsidR="00DE5199" w:rsidRPr="00287431">
        <w:rPr>
          <w:rFonts w:cstheme="minorHAnsi"/>
          <w:bCs/>
          <w:sz w:val="24"/>
          <w:szCs w:val="24"/>
        </w:rPr>
        <w:t xml:space="preserve">The data also indicated assessment and using data to guide instruction as relative </w:t>
      </w:r>
      <w:r w:rsidR="004E705E">
        <w:rPr>
          <w:rFonts w:cstheme="minorHAnsi"/>
          <w:bCs/>
          <w:sz w:val="24"/>
          <w:szCs w:val="24"/>
        </w:rPr>
        <w:t xml:space="preserve">weak </w:t>
      </w:r>
      <w:r w:rsidR="00DE5199" w:rsidRPr="00287431">
        <w:rPr>
          <w:rFonts w:cstheme="minorHAnsi"/>
          <w:bCs/>
          <w:sz w:val="24"/>
          <w:szCs w:val="24"/>
        </w:rPr>
        <w:t>area</w:t>
      </w:r>
      <w:r w:rsidR="004E705E">
        <w:rPr>
          <w:rFonts w:cstheme="minorHAnsi"/>
          <w:bCs/>
          <w:sz w:val="24"/>
          <w:szCs w:val="24"/>
        </w:rPr>
        <w:t>s</w:t>
      </w:r>
      <w:r w:rsidR="00340E2F" w:rsidRPr="00287431">
        <w:rPr>
          <w:rFonts w:cstheme="minorHAnsi"/>
          <w:bCs/>
          <w:sz w:val="24"/>
          <w:szCs w:val="24"/>
        </w:rPr>
        <w:t>.</w:t>
      </w:r>
      <w:r w:rsidR="000C6C18" w:rsidRPr="00287431">
        <w:rPr>
          <w:rFonts w:cstheme="minorHAnsi"/>
          <w:bCs/>
          <w:sz w:val="24"/>
          <w:szCs w:val="24"/>
        </w:rPr>
        <w:t xml:space="preserve"> For</w:t>
      </w:r>
      <w:r w:rsidR="00646FB7" w:rsidRPr="00287431">
        <w:rPr>
          <w:rFonts w:cstheme="minorHAnsi"/>
          <w:bCs/>
          <w:sz w:val="24"/>
          <w:szCs w:val="24"/>
        </w:rPr>
        <w:t xml:space="preserve"> </w:t>
      </w:r>
      <w:r w:rsidR="000C6C18" w:rsidRPr="00287431">
        <w:rPr>
          <w:rFonts w:cstheme="minorHAnsi"/>
          <w:bCs/>
          <w:sz w:val="24"/>
          <w:szCs w:val="24"/>
        </w:rPr>
        <w:t xml:space="preserve">example, </w:t>
      </w:r>
      <w:r w:rsidR="00340E2F" w:rsidRPr="00287431">
        <w:rPr>
          <w:rFonts w:cstheme="minorHAnsi"/>
          <w:bCs/>
          <w:sz w:val="24"/>
          <w:szCs w:val="24"/>
        </w:rPr>
        <w:t>Item #</w:t>
      </w:r>
      <w:proofErr w:type="gramStart"/>
      <w:r w:rsidR="00340E2F" w:rsidRPr="00287431">
        <w:rPr>
          <w:rFonts w:cstheme="minorHAnsi"/>
          <w:bCs/>
          <w:sz w:val="24"/>
          <w:szCs w:val="24"/>
        </w:rPr>
        <w:t>5</w:t>
      </w:r>
      <w:r w:rsidR="004E705E">
        <w:rPr>
          <w:rFonts w:cstheme="minorHAnsi"/>
          <w:bCs/>
          <w:sz w:val="24"/>
          <w:szCs w:val="24"/>
        </w:rPr>
        <w:t xml:space="preserve"> </w:t>
      </w:r>
      <w:r w:rsidR="00340E2F" w:rsidRPr="00287431">
        <w:rPr>
          <w:rFonts w:cstheme="minorHAnsi"/>
          <w:bCs/>
          <w:sz w:val="24"/>
          <w:szCs w:val="24"/>
        </w:rPr>
        <w:t>”The</w:t>
      </w:r>
      <w:proofErr w:type="gramEnd"/>
      <w:r w:rsidR="00340E2F" w:rsidRPr="00287431">
        <w:rPr>
          <w:rFonts w:cstheme="minorHAnsi"/>
          <w:bCs/>
          <w:sz w:val="24"/>
          <w:szCs w:val="24"/>
        </w:rPr>
        <w:t xml:space="preserve"> institution prepares its graduates to be knowledgeable about assessment types, their purposes, and the data they generate</w:t>
      </w:r>
      <w:r w:rsidR="000C6C18" w:rsidRPr="00287431">
        <w:rPr>
          <w:rFonts w:cstheme="minorHAnsi"/>
          <w:bCs/>
          <w:sz w:val="24"/>
          <w:szCs w:val="24"/>
        </w:rPr>
        <w:t xml:space="preserve">” and Item # </w:t>
      </w:r>
      <w:r w:rsidR="00340E2F" w:rsidRPr="00287431">
        <w:rPr>
          <w:rFonts w:cstheme="minorHAnsi"/>
          <w:bCs/>
          <w:sz w:val="24"/>
          <w:szCs w:val="24"/>
        </w:rPr>
        <w:t xml:space="preserve">6 </w:t>
      </w:r>
      <w:r w:rsidR="000C6C18" w:rsidRPr="00287431">
        <w:rPr>
          <w:rFonts w:cstheme="minorHAnsi"/>
          <w:bCs/>
          <w:sz w:val="24"/>
          <w:szCs w:val="24"/>
        </w:rPr>
        <w:t>“</w:t>
      </w:r>
      <w:r w:rsidR="00340E2F" w:rsidRPr="00287431">
        <w:rPr>
          <w:rFonts w:cstheme="minorHAnsi"/>
          <w:bCs/>
          <w:sz w:val="24"/>
          <w:szCs w:val="24"/>
        </w:rPr>
        <w:t>The institution prepares its graduates to analyze data to monitor student progress and learning</w:t>
      </w:r>
      <w:r w:rsidR="000C6C18" w:rsidRPr="00287431">
        <w:rPr>
          <w:rFonts w:cstheme="minorHAnsi"/>
          <w:bCs/>
          <w:sz w:val="24"/>
          <w:szCs w:val="24"/>
        </w:rPr>
        <w:t xml:space="preserve">” </w:t>
      </w:r>
      <w:r w:rsidR="00F8538F">
        <w:rPr>
          <w:rFonts w:cstheme="minorHAnsi"/>
          <w:bCs/>
          <w:sz w:val="24"/>
          <w:szCs w:val="24"/>
        </w:rPr>
        <w:t>are both rated 3.00</w:t>
      </w:r>
      <w:r w:rsidR="002E350E">
        <w:rPr>
          <w:rFonts w:cstheme="minorHAnsi"/>
          <w:bCs/>
          <w:sz w:val="24"/>
          <w:szCs w:val="24"/>
        </w:rPr>
        <w:t>, and 3.33</w:t>
      </w:r>
      <w:r w:rsidR="00CB6DC8">
        <w:rPr>
          <w:rFonts w:cstheme="minorHAnsi"/>
          <w:bCs/>
          <w:sz w:val="24"/>
          <w:szCs w:val="24"/>
        </w:rPr>
        <w:t xml:space="preserve"> lower than other items. </w:t>
      </w:r>
      <w:r w:rsidR="003F0EC8" w:rsidRPr="00287431">
        <w:rPr>
          <w:rFonts w:cstheme="minorHAnsi"/>
          <w:bCs/>
          <w:sz w:val="24"/>
          <w:szCs w:val="24"/>
        </w:rPr>
        <w:t>All the item level responses are presented in Table 1.</w:t>
      </w:r>
    </w:p>
    <w:p w14:paraId="484D2F1D" w14:textId="77777777" w:rsidR="00E87895" w:rsidRDefault="00E87895" w:rsidP="0009116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61FE415F" w14:textId="027C6D25" w:rsidR="00E87895" w:rsidRPr="00CB6DC8" w:rsidRDefault="00E87895" w:rsidP="00091160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CB6DC8">
        <w:rPr>
          <w:rFonts w:cstheme="minorHAnsi"/>
          <w:b/>
          <w:bCs/>
          <w:sz w:val="24"/>
          <w:szCs w:val="24"/>
        </w:rPr>
        <w:t xml:space="preserve">Table 1.  Employer </w:t>
      </w:r>
      <w:r w:rsidR="003F0EC8" w:rsidRPr="00CB6DC8">
        <w:rPr>
          <w:rFonts w:cstheme="minorHAnsi"/>
          <w:b/>
          <w:bCs/>
          <w:sz w:val="24"/>
          <w:szCs w:val="24"/>
        </w:rPr>
        <w:t>Satisfaction</w:t>
      </w:r>
      <w:r w:rsidRPr="00CB6DC8">
        <w:rPr>
          <w:rFonts w:cstheme="minorHAnsi"/>
          <w:b/>
          <w:bCs/>
          <w:sz w:val="24"/>
          <w:szCs w:val="24"/>
        </w:rPr>
        <w:t xml:space="preserve"> Survey Results</w:t>
      </w:r>
      <w:r w:rsidR="003F0EC8" w:rsidRPr="00CB6DC8">
        <w:rPr>
          <w:rFonts w:cstheme="minorHAnsi"/>
          <w:b/>
          <w:bCs/>
          <w:sz w:val="24"/>
          <w:szCs w:val="24"/>
        </w:rPr>
        <w:t xml:space="preserve"> (2020-2021)</w:t>
      </w:r>
    </w:p>
    <w:p w14:paraId="412B6DCB" w14:textId="7B886137" w:rsidR="00E8531A" w:rsidRPr="00D81729" w:rsidRDefault="00E8531A" w:rsidP="00A00953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tbl>
      <w:tblPr>
        <w:tblStyle w:val="TableGrid"/>
        <w:tblW w:w="11250" w:type="dxa"/>
        <w:tblInd w:w="-455" w:type="dxa"/>
        <w:tblBorders>
          <w:right w:val="single" w:sz="12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717"/>
        <w:gridCol w:w="1173"/>
        <w:gridCol w:w="7560"/>
        <w:gridCol w:w="900"/>
        <w:gridCol w:w="900"/>
      </w:tblGrid>
      <w:tr w:rsidR="00DC0583" w:rsidRPr="00D81729" w14:paraId="5E677B80" w14:textId="69894A7A" w:rsidTr="00DC0583">
        <w:tc>
          <w:tcPr>
            <w:tcW w:w="9450" w:type="dxa"/>
            <w:gridSpan w:val="3"/>
            <w:shd w:val="clear" w:color="auto" w:fill="D0CECE" w:themeFill="background2" w:themeFillShade="E6"/>
          </w:tcPr>
          <w:p w14:paraId="0A77ED67" w14:textId="77777777" w:rsidR="00DC0583" w:rsidRPr="00CB6DC8" w:rsidRDefault="00DC0583">
            <w:pPr>
              <w:rPr>
                <w:rFonts w:cstheme="minorHAnsi"/>
                <w:b/>
                <w:sz w:val="24"/>
                <w:szCs w:val="24"/>
              </w:rPr>
            </w:pPr>
            <w:r w:rsidRPr="00CB6DC8">
              <w:rPr>
                <w:rFonts w:cstheme="minorHAnsi"/>
                <w:b/>
                <w:sz w:val="24"/>
                <w:szCs w:val="24"/>
              </w:rPr>
              <w:t>Number of Respondents Completing the Survey: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5D6F41F5" w14:textId="0C3260A4" w:rsidR="00DC0583" w:rsidRPr="00CB6DC8" w:rsidRDefault="002E350E" w:rsidP="004E7C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2020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52FB15C4" w14:textId="0836C8C7" w:rsidR="00DC0583" w:rsidRPr="00CB6DC8" w:rsidRDefault="002E350E" w:rsidP="004E7C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2021</w:t>
            </w:r>
          </w:p>
        </w:tc>
      </w:tr>
      <w:tr w:rsidR="00DC0583" w:rsidRPr="00D81729" w14:paraId="217CDC02" w14:textId="1933E8AB" w:rsidTr="00DC0583">
        <w:tc>
          <w:tcPr>
            <w:tcW w:w="717" w:type="dxa"/>
            <w:shd w:val="clear" w:color="auto" w:fill="D0CECE" w:themeFill="background2" w:themeFillShade="E6"/>
          </w:tcPr>
          <w:p w14:paraId="72F6C717" w14:textId="45CB56E6" w:rsidR="00DC0583" w:rsidRPr="00CB6DC8" w:rsidRDefault="00DC0583" w:rsidP="000E46F0">
            <w:pPr>
              <w:rPr>
                <w:rFonts w:cstheme="minorHAnsi"/>
                <w:b/>
              </w:rPr>
            </w:pPr>
            <w:r w:rsidRPr="00CB6DC8">
              <w:rPr>
                <w:rFonts w:cstheme="minorHAnsi"/>
                <w:b/>
              </w:rPr>
              <w:t>CAEP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6FBF0278" w14:textId="7192A6E1" w:rsidR="00DC0583" w:rsidRPr="00CB6DC8" w:rsidRDefault="00DC0583" w:rsidP="000E46F0">
            <w:pPr>
              <w:rPr>
                <w:rFonts w:cstheme="minorHAnsi"/>
                <w:b/>
              </w:rPr>
            </w:pPr>
            <w:r w:rsidRPr="00CB6DC8">
              <w:rPr>
                <w:rFonts w:cstheme="minorHAnsi"/>
                <w:b/>
              </w:rPr>
              <w:t>OSTP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416B0ECE" w14:textId="77777777" w:rsidR="00DC0583" w:rsidRPr="00CB6DC8" w:rsidRDefault="00DC0583" w:rsidP="000E46F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B6DC8">
              <w:rPr>
                <w:rFonts w:cstheme="minorHAnsi"/>
                <w:b/>
              </w:rPr>
              <w:t>Survey Item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4DECEB36" w14:textId="51961E94" w:rsidR="00DC0583" w:rsidRPr="00CB6DC8" w:rsidRDefault="002E350E" w:rsidP="000E46F0">
            <w:pPr>
              <w:rPr>
                <w:rFonts w:cstheme="minorHAnsi"/>
              </w:rPr>
            </w:pPr>
            <w:r w:rsidRPr="00CB6DC8">
              <w:rPr>
                <w:rFonts w:cstheme="minorHAnsi"/>
                <w:b/>
                <w:sz w:val="24"/>
                <w:szCs w:val="24"/>
              </w:rPr>
              <w:t>N=35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7771A5DC" w14:textId="4524DCFD" w:rsidR="00DC0583" w:rsidRPr="00CB6DC8" w:rsidRDefault="002E350E" w:rsidP="000E46F0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N=33</w:t>
            </w:r>
          </w:p>
        </w:tc>
      </w:tr>
      <w:tr w:rsidR="00536904" w:rsidRPr="00D81729" w14:paraId="00F8BC2F" w14:textId="1BE9993E" w:rsidTr="00E070D7">
        <w:tc>
          <w:tcPr>
            <w:tcW w:w="717" w:type="dxa"/>
            <w:shd w:val="clear" w:color="auto" w:fill="D0CECE" w:themeFill="background2" w:themeFillShade="E6"/>
          </w:tcPr>
          <w:p w14:paraId="4E10EB61" w14:textId="1FFCB19C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1.2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2145D8E8" w14:textId="38900D76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1.1, 1.5, 4.4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62CA8FD5" w14:textId="4B05C88B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1 The institution prepares its graduates to understand student learning and development.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1E3FDE84" w14:textId="01E668D4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3.21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6BA8910C" w14:textId="25455988" w:rsidR="00536904" w:rsidRPr="00CB6DC8" w:rsidRDefault="00536904" w:rsidP="00536904">
            <w:pPr>
              <w:rPr>
                <w:rFonts w:cstheme="minorHAnsi"/>
              </w:rPr>
            </w:pPr>
            <w:r w:rsidRPr="00AE3F4F">
              <w:t>3.44</w:t>
            </w:r>
          </w:p>
        </w:tc>
      </w:tr>
      <w:tr w:rsidR="00536904" w:rsidRPr="00D81729" w14:paraId="6F7B0AB6" w14:textId="768FF553" w:rsidTr="00E070D7">
        <w:tc>
          <w:tcPr>
            <w:tcW w:w="717" w:type="dxa"/>
            <w:shd w:val="clear" w:color="auto" w:fill="D0CECE" w:themeFill="background2" w:themeFillShade="E6"/>
          </w:tcPr>
          <w:p w14:paraId="615810FE" w14:textId="7128A3AA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1.2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6F998CA4" w14:textId="6A1D0192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1.2, 1.3, 1.4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77B149E3" w14:textId="6E9E1BC3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2 The institution prepares its graduates to respect the diversity of the students they teach.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4A1F2232" w14:textId="47509638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3.43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BC3721C" w14:textId="7088848E" w:rsidR="00536904" w:rsidRPr="00CB6DC8" w:rsidRDefault="00536904" w:rsidP="00536904">
            <w:pPr>
              <w:rPr>
                <w:rFonts w:cstheme="minorHAnsi"/>
              </w:rPr>
            </w:pPr>
            <w:r w:rsidRPr="00AE3F4F">
              <w:t>3.58</w:t>
            </w:r>
          </w:p>
        </w:tc>
      </w:tr>
      <w:tr w:rsidR="00536904" w:rsidRPr="00D81729" w14:paraId="504B22FE" w14:textId="02D0164D" w:rsidTr="00E070D7">
        <w:tc>
          <w:tcPr>
            <w:tcW w:w="717" w:type="dxa"/>
            <w:shd w:val="clear" w:color="auto" w:fill="D0CECE" w:themeFill="background2" w:themeFillShade="E6"/>
          </w:tcPr>
          <w:p w14:paraId="5E56D37D" w14:textId="6E6F9003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1.3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404F6186" w14:textId="49693E92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2.1, 2.2, 2.4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50A36744" w14:textId="261A6B50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3 The institution prepares its graduates to know and understand the content area for which they have instructional responsibility.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227FED70" w14:textId="01CF140F" w:rsidR="00536904" w:rsidRPr="00CB6DC8" w:rsidRDefault="00536904" w:rsidP="00536904">
            <w:pPr>
              <w:rPr>
                <w:rFonts w:cstheme="minorHAnsi"/>
                <w:color w:val="00B050"/>
              </w:rPr>
            </w:pPr>
            <w:r w:rsidRPr="00CB6DC8">
              <w:rPr>
                <w:rFonts w:cstheme="minorHAnsi"/>
              </w:rPr>
              <w:t>3.43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3F430E3" w14:textId="405226BC" w:rsidR="00536904" w:rsidRPr="00CB6DC8" w:rsidRDefault="00536904" w:rsidP="00536904">
            <w:pPr>
              <w:rPr>
                <w:rFonts w:cstheme="minorHAnsi"/>
              </w:rPr>
            </w:pPr>
            <w:r w:rsidRPr="00AE3F4F">
              <w:t>3.50</w:t>
            </w:r>
          </w:p>
        </w:tc>
      </w:tr>
      <w:tr w:rsidR="00536904" w:rsidRPr="00D81729" w14:paraId="65F888CB" w14:textId="4E972C8A" w:rsidTr="00E070D7">
        <w:tc>
          <w:tcPr>
            <w:tcW w:w="717" w:type="dxa"/>
            <w:shd w:val="clear" w:color="auto" w:fill="D0CECE" w:themeFill="background2" w:themeFillShade="E6"/>
          </w:tcPr>
          <w:p w14:paraId="6D8A5844" w14:textId="511844EA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1.3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48235D6F" w14:textId="77777777" w:rsidR="00536904" w:rsidRPr="00CB6DC8" w:rsidRDefault="00536904" w:rsidP="00536904">
            <w:pPr>
              <w:rPr>
                <w:rFonts w:cstheme="minorHAnsi"/>
              </w:rPr>
            </w:pPr>
          </w:p>
          <w:p w14:paraId="2E4DB54F" w14:textId="0FC4368E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2.1, 2.2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5F092D65" w14:textId="3200A2A8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4 The institution prepares its graduates to understand and use content-specific instructional strategies to effectively teach the central concepts and skills of the discipline.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164EC67E" w14:textId="5FC580B4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3.14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189498CE" w14:textId="2AA4CA8C" w:rsidR="00536904" w:rsidRPr="00CB6DC8" w:rsidRDefault="00536904" w:rsidP="00536904">
            <w:pPr>
              <w:rPr>
                <w:rFonts w:cstheme="minorHAnsi"/>
              </w:rPr>
            </w:pPr>
            <w:r w:rsidRPr="00AE3F4F">
              <w:t>3.36</w:t>
            </w:r>
          </w:p>
        </w:tc>
      </w:tr>
      <w:tr w:rsidR="00536904" w:rsidRPr="00D81729" w14:paraId="652BA7CB" w14:textId="5F486FD5" w:rsidTr="00E070D7">
        <w:tc>
          <w:tcPr>
            <w:tcW w:w="717" w:type="dxa"/>
            <w:shd w:val="clear" w:color="auto" w:fill="D0CECE" w:themeFill="background2" w:themeFillShade="E6"/>
          </w:tcPr>
          <w:p w14:paraId="0AA4C125" w14:textId="31BBF232" w:rsidR="00536904" w:rsidRPr="00CB6DC8" w:rsidRDefault="00536904" w:rsidP="00536904">
            <w:pPr>
              <w:rPr>
                <w:rFonts w:cstheme="minorHAnsi"/>
              </w:rPr>
            </w:pPr>
            <w:bookmarkStart w:id="0" w:name="_Hlk96328833"/>
            <w:r w:rsidRPr="00CB6DC8">
              <w:rPr>
                <w:rFonts w:cstheme="minorHAnsi"/>
              </w:rPr>
              <w:t>1.3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23FC8B1D" w14:textId="71884E07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3.1, 4.2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625EB335" w14:textId="0C89D6CB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5 The institution prepares its graduates to be knowledgeable about assessment types, their purposes, and the data they generate.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77E9D73D" w14:textId="655663A0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3.14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78F71C90" w14:textId="0EFB24F2" w:rsidR="00536904" w:rsidRPr="00CB6DC8" w:rsidRDefault="00536904" w:rsidP="00536904">
            <w:pPr>
              <w:rPr>
                <w:rFonts w:cstheme="minorHAnsi"/>
              </w:rPr>
            </w:pPr>
            <w:r w:rsidRPr="003D491A">
              <w:rPr>
                <w:highlight w:val="lightGray"/>
              </w:rPr>
              <w:t>3.33</w:t>
            </w:r>
          </w:p>
        </w:tc>
      </w:tr>
      <w:tr w:rsidR="00536904" w:rsidRPr="00D81729" w14:paraId="05766C7F" w14:textId="135EA075" w:rsidTr="00E070D7">
        <w:tc>
          <w:tcPr>
            <w:tcW w:w="717" w:type="dxa"/>
            <w:shd w:val="clear" w:color="auto" w:fill="D0CECE" w:themeFill="background2" w:themeFillShade="E6"/>
          </w:tcPr>
          <w:p w14:paraId="56D0F993" w14:textId="259A74EA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1.3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606BD386" w14:textId="61633AF2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3.2, 3.3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1ADA0771" w14:textId="67416A54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6 The institution prepares its graduates to analyze data to monitor student progress and learning.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3491A917" w14:textId="26365BBA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3.00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03E67D2" w14:textId="53C50159" w:rsidR="00536904" w:rsidRPr="00CB6DC8" w:rsidRDefault="00536904" w:rsidP="00536904">
            <w:pPr>
              <w:rPr>
                <w:rFonts w:cstheme="minorHAnsi"/>
              </w:rPr>
            </w:pPr>
            <w:r w:rsidRPr="003D491A">
              <w:rPr>
                <w:highlight w:val="lightGray"/>
              </w:rPr>
              <w:t>3.31</w:t>
            </w:r>
          </w:p>
        </w:tc>
      </w:tr>
      <w:bookmarkEnd w:id="0"/>
      <w:tr w:rsidR="00536904" w:rsidRPr="00D81729" w14:paraId="06069679" w14:textId="1C3B9F8B" w:rsidTr="00E070D7">
        <w:tc>
          <w:tcPr>
            <w:tcW w:w="717" w:type="dxa"/>
            <w:shd w:val="clear" w:color="auto" w:fill="D0CECE" w:themeFill="background2" w:themeFillShade="E6"/>
          </w:tcPr>
          <w:p w14:paraId="2B2CE721" w14:textId="10A23AFF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3.6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5E3B9A32" w14:textId="77777777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1.1, 1.2, 1.3</w:t>
            </w:r>
          </w:p>
          <w:p w14:paraId="6C52CD21" w14:textId="2F9752EC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3.2, 3.3, 4.2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3BF247C6" w14:textId="1DE33B87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7 The institution prepares its graduates to use data to plan, differentiate, and modify instruction.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2AA8C5A7" w14:textId="0B3A35D2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3.00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6644FEB" w14:textId="47D19E54" w:rsidR="00536904" w:rsidRPr="00CB6DC8" w:rsidRDefault="00536904" w:rsidP="00536904">
            <w:pPr>
              <w:rPr>
                <w:rFonts w:cstheme="minorHAnsi"/>
              </w:rPr>
            </w:pPr>
            <w:r w:rsidRPr="00627B08">
              <w:rPr>
                <w:highlight w:val="lightGray"/>
              </w:rPr>
              <w:t>3.31</w:t>
            </w:r>
          </w:p>
        </w:tc>
      </w:tr>
      <w:tr w:rsidR="00536904" w:rsidRPr="00D81729" w14:paraId="1D262F6A" w14:textId="119CE7D9" w:rsidTr="00E070D7">
        <w:tc>
          <w:tcPr>
            <w:tcW w:w="717" w:type="dxa"/>
            <w:shd w:val="clear" w:color="auto" w:fill="D0CECE" w:themeFill="background2" w:themeFillShade="E6"/>
          </w:tcPr>
          <w:p w14:paraId="45C75CCC" w14:textId="20F12163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3.6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0B20B65D" w14:textId="47023D6D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2.3, 4.1, 4.6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148A3E72" w14:textId="58A95750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8 The institution prepares its graduates to align their instructional goals and activities with school and district priorities.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730D03E4" w14:textId="5D5B2DA6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3.36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4B773956" w14:textId="4FB3E50A" w:rsidR="00536904" w:rsidRPr="00CB6DC8" w:rsidRDefault="00536904" w:rsidP="00536904">
            <w:pPr>
              <w:rPr>
                <w:rFonts w:cstheme="minorHAnsi"/>
              </w:rPr>
            </w:pPr>
            <w:r w:rsidRPr="00AE3F4F">
              <w:t>3.50</w:t>
            </w:r>
          </w:p>
        </w:tc>
      </w:tr>
      <w:tr w:rsidR="00536904" w:rsidRPr="00D81729" w14:paraId="3CCC4699" w14:textId="7AD7BFC1" w:rsidTr="00E070D7">
        <w:tc>
          <w:tcPr>
            <w:tcW w:w="717" w:type="dxa"/>
            <w:shd w:val="clear" w:color="auto" w:fill="D0CECE" w:themeFill="background2" w:themeFillShade="E6"/>
          </w:tcPr>
          <w:p w14:paraId="5CF5B51F" w14:textId="7DBA4972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lastRenderedPageBreak/>
              <w:t>1.3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790B4904" w14:textId="7EF8F055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1.5, 2.3, 3.3, 4.4, 4.5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4B28F25C" w14:textId="0316E4A1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9 The institution prepares its graduates to differentiate instruction to support the learning needs of all students.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19F80BC5" w14:textId="44D59A36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3.21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41E441AE" w14:textId="43669962" w:rsidR="00536904" w:rsidRPr="00CB6DC8" w:rsidRDefault="00536904" w:rsidP="00536904">
            <w:pPr>
              <w:rPr>
                <w:rFonts w:cstheme="minorHAnsi"/>
              </w:rPr>
            </w:pPr>
            <w:r w:rsidRPr="00AE3F4F">
              <w:t>3.44</w:t>
            </w:r>
          </w:p>
        </w:tc>
      </w:tr>
      <w:tr w:rsidR="00536904" w:rsidRPr="00D81729" w14:paraId="431BB71D" w14:textId="3F62752B" w:rsidTr="00E070D7">
        <w:tc>
          <w:tcPr>
            <w:tcW w:w="717" w:type="dxa"/>
            <w:shd w:val="clear" w:color="auto" w:fill="D0CECE" w:themeFill="background2" w:themeFillShade="E6"/>
          </w:tcPr>
          <w:p w14:paraId="03BD2ED5" w14:textId="6D063955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1.3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0533D44C" w14:textId="0873E909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3.5, 1.3, 1.2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0A815767" w14:textId="3E6476F9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10 The institution prepares its graduates to treat students fairly and establish an environment that is respectful, supportive, and caring.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7FA2FEAC" w14:textId="32F60505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3.93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F35D9F3" w14:textId="52171BE4" w:rsidR="00536904" w:rsidRPr="00CB6DC8" w:rsidRDefault="00536904" w:rsidP="00536904">
            <w:pPr>
              <w:rPr>
                <w:rFonts w:cstheme="minorHAnsi"/>
              </w:rPr>
            </w:pPr>
            <w:r w:rsidRPr="00AE3F4F">
              <w:t>3.81</w:t>
            </w:r>
          </w:p>
        </w:tc>
      </w:tr>
      <w:tr w:rsidR="00536904" w:rsidRPr="00D81729" w14:paraId="49693116" w14:textId="78E0CE66" w:rsidTr="00E070D7">
        <w:tc>
          <w:tcPr>
            <w:tcW w:w="717" w:type="dxa"/>
            <w:shd w:val="clear" w:color="auto" w:fill="D0CECE" w:themeFill="background2" w:themeFillShade="E6"/>
          </w:tcPr>
          <w:p w14:paraId="194CB35F" w14:textId="433A2244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1.3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7FA9A480" w14:textId="720C1DAA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1.2, 1.3, 5.1, 5.2, 5.5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0FF2C799" w14:textId="73389FF7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11 The institution prepares its graduates to maintain an environment that is conducive to learning for all students.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36BBE988" w14:textId="530687F2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3.64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635B2373" w14:textId="5B95EB1E" w:rsidR="00536904" w:rsidRPr="00CB6DC8" w:rsidRDefault="00536904" w:rsidP="00536904">
            <w:pPr>
              <w:rPr>
                <w:rFonts w:cstheme="minorHAnsi"/>
              </w:rPr>
            </w:pPr>
            <w:r w:rsidRPr="00AE3F4F">
              <w:t>3.64</w:t>
            </w:r>
          </w:p>
        </w:tc>
      </w:tr>
      <w:tr w:rsidR="00536904" w:rsidRPr="00D81729" w14:paraId="77CE5FB6" w14:textId="79BE5D22" w:rsidTr="00E070D7">
        <w:tc>
          <w:tcPr>
            <w:tcW w:w="717" w:type="dxa"/>
            <w:shd w:val="clear" w:color="auto" w:fill="D0CECE" w:themeFill="background2" w:themeFillShade="E6"/>
          </w:tcPr>
          <w:p w14:paraId="638CF0BB" w14:textId="6E48559C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1.3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54FDE22C" w14:textId="63D1C244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6.1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1FA2B343" w14:textId="6A3F771B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12 The institution prepares its graduates to communicate clearly and effectively.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59FC1B60" w14:textId="01200588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3.29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1707CE73" w14:textId="2169D051" w:rsidR="00536904" w:rsidRPr="00CB6DC8" w:rsidRDefault="00536904" w:rsidP="00536904">
            <w:pPr>
              <w:rPr>
                <w:rFonts w:cstheme="minorHAnsi"/>
              </w:rPr>
            </w:pPr>
            <w:r w:rsidRPr="00AE3F4F">
              <w:t>3.49</w:t>
            </w:r>
          </w:p>
        </w:tc>
      </w:tr>
      <w:tr w:rsidR="00536904" w:rsidRPr="00D81729" w14:paraId="1549AEBA" w14:textId="3891AFAB" w:rsidTr="00E070D7">
        <w:tc>
          <w:tcPr>
            <w:tcW w:w="717" w:type="dxa"/>
            <w:shd w:val="clear" w:color="auto" w:fill="D0CECE" w:themeFill="background2" w:themeFillShade="E6"/>
          </w:tcPr>
          <w:p w14:paraId="433AAFB2" w14:textId="06CFC712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1.5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01BD9186" w14:textId="68495FF9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3.4, 6.3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55FF40A7" w14:textId="6077AF6E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13 The institution prepares its graduates to collaborate effectively with other teachers, administrators, and district staff.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233F7F3A" w14:textId="1EB26FC7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3.71</w:t>
            </w:r>
          </w:p>
        </w:tc>
        <w:tc>
          <w:tcPr>
            <w:tcW w:w="900" w:type="dxa"/>
          </w:tcPr>
          <w:p w14:paraId="480D0E9C" w14:textId="736974E9" w:rsidR="00536904" w:rsidRPr="00CB6DC8" w:rsidRDefault="00536904" w:rsidP="00536904">
            <w:pPr>
              <w:rPr>
                <w:rFonts w:cstheme="minorHAnsi"/>
              </w:rPr>
            </w:pPr>
            <w:r w:rsidRPr="00AE3F4F">
              <w:t>3.56</w:t>
            </w:r>
          </w:p>
        </w:tc>
      </w:tr>
      <w:tr w:rsidR="00536904" w:rsidRPr="00D81729" w14:paraId="3D229B70" w14:textId="6FDF90DD" w:rsidTr="00E070D7">
        <w:tc>
          <w:tcPr>
            <w:tcW w:w="717" w:type="dxa"/>
            <w:shd w:val="clear" w:color="auto" w:fill="D0CECE" w:themeFill="background2" w:themeFillShade="E6"/>
          </w:tcPr>
          <w:p w14:paraId="46C0D2C9" w14:textId="4BFA5671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3.6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73560914" w14:textId="08E38633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 xml:space="preserve">1.3, 1.4, 5.1, 7.1, 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19CC836A" w14:textId="7379A66B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14 The institution prepares its graduates to understand, uphold, and follow professional ethics, policies, and legal codes of professional conduct.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21B8B6E3" w14:textId="74B3BDB4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3.71</w:t>
            </w:r>
          </w:p>
        </w:tc>
        <w:tc>
          <w:tcPr>
            <w:tcW w:w="900" w:type="dxa"/>
          </w:tcPr>
          <w:p w14:paraId="6EC55FCD" w14:textId="2FB70568" w:rsidR="00536904" w:rsidRPr="00CB6DC8" w:rsidRDefault="00536904" w:rsidP="00536904">
            <w:pPr>
              <w:rPr>
                <w:rFonts w:cstheme="minorHAnsi"/>
              </w:rPr>
            </w:pPr>
            <w:r w:rsidRPr="00AE3F4F">
              <w:t>3.67</w:t>
            </w:r>
          </w:p>
        </w:tc>
      </w:tr>
      <w:tr w:rsidR="00536904" w:rsidRPr="00D81729" w14:paraId="458793CF" w14:textId="133CEE10" w:rsidTr="00E070D7">
        <w:tc>
          <w:tcPr>
            <w:tcW w:w="717" w:type="dxa"/>
            <w:shd w:val="clear" w:color="auto" w:fill="D0CECE" w:themeFill="background2" w:themeFillShade="E6"/>
          </w:tcPr>
          <w:p w14:paraId="73B1DCEB" w14:textId="3C3C00AC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3.6</w:t>
            </w:r>
          </w:p>
        </w:tc>
        <w:tc>
          <w:tcPr>
            <w:tcW w:w="1173" w:type="dxa"/>
            <w:shd w:val="clear" w:color="auto" w:fill="D0CECE" w:themeFill="background2" w:themeFillShade="E6"/>
          </w:tcPr>
          <w:p w14:paraId="6CF11B03" w14:textId="21DADD91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7.2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18A6DE7B" w14:textId="77B960F4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15 The institution prepares its graduates to assume responsibility for professional growth.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55D03083" w14:textId="3D645D1C" w:rsidR="00536904" w:rsidRPr="00CB6DC8" w:rsidRDefault="00536904" w:rsidP="00536904">
            <w:pPr>
              <w:rPr>
                <w:rFonts w:cstheme="minorHAnsi"/>
              </w:rPr>
            </w:pPr>
            <w:r w:rsidRPr="00CB6DC8">
              <w:rPr>
                <w:rFonts w:cstheme="minorHAnsi"/>
              </w:rPr>
              <w:t>3.50</w:t>
            </w:r>
          </w:p>
        </w:tc>
        <w:tc>
          <w:tcPr>
            <w:tcW w:w="900" w:type="dxa"/>
          </w:tcPr>
          <w:p w14:paraId="2385A385" w14:textId="1B573CE0" w:rsidR="00536904" w:rsidRPr="00CB6DC8" w:rsidRDefault="00536904" w:rsidP="00536904">
            <w:pPr>
              <w:rPr>
                <w:rFonts w:cstheme="minorHAnsi"/>
              </w:rPr>
            </w:pPr>
            <w:r w:rsidRPr="00AE3F4F">
              <w:t>3.50</w:t>
            </w:r>
          </w:p>
        </w:tc>
      </w:tr>
      <w:tr w:rsidR="00DC0583" w:rsidRPr="00D81729" w14:paraId="374E1C2C" w14:textId="6C356ECA" w:rsidTr="00DC0583">
        <w:trPr>
          <w:trHeight w:val="368"/>
        </w:trPr>
        <w:tc>
          <w:tcPr>
            <w:tcW w:w="1890" w:type="dxa"/>
            <w:gridSpan w:val="2"/>
            <w:shd w:val="clear" w:color="auto" w:fill="D0CECE" w:themeFill="background2" w:themeFillShade="E6"/>
          </w:tcPr>
          <w:p w14:paraId="57B11C5E" w14:textId="73556AB4" w:rsidR="00DC0583" w:rsidRPr="00CB6DC8" w:rsidRDefault="00DC0583" w:rsidP="000B3855">
            <w:pPr>
              <w:rPr>
                <w:rFonts w:cstheme="minorHAnsi"/>
                <w:b/>
              </w:rPr>
            </w:pPr>
            <w:r w:rsidRPr="00CB6DC8">
              <w:rPr>
                <w:rFonts w:cstheme="minorHAnsi"/>
                <w:b/>
              </w:rPr>
              <w:t>**Total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409A2D85" w14:textId="77777777" w:rsidR="00DC0583" w:rsidRPr="00CB6DC8" w:rsidRDefault="00DC0583" w:rsidP="000B385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00" w:type="dxa"/>
            <w:shd w:val="clear" w:color="auto" w:fill="D0CECE" w:themeFill="background2" w:themeFillShade="E6"/>
          </w:tcPr>
          <w:p w14:paraId="635AC268" w14:textId="625746A6" w:rsidR="00DC0583" w:rsidRPr="00CB6DC8" w:rsidRDefault="00DC0583" w:rsidP="000B3855">
            <w:pPr>
              <w:rPr>
                <w:rFonts w:cstheme="minorHAnsi"/>
                <w:b/>
                <w:highlight w:val="darkGray"/>
              </w:rPr>
            </w:pPr>
            <w:r w:rsidRPr="00CB6DC8">
              <w:rPr>
                <w:rFonts w:cstheme="minorHAnsi"/>
                <w:color w:val="FF0000"/>
              </w:rPr>
              <w:t>3.38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58E835E4" w14:textId="151DCE9C" w:rsidR="00DC0583" w:rsidRPr="00CB6DC8" w:rsidRDefault="00AC1CC5" w:rsidP="000B385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3.50</w:t>
            </w:r>
          </w:p>
        </w:tc>
      </w:tr>
    </w:tbl>
    <w:p w14:paraId="6EFA19A2" w14:textId="3D2393B4" w:rsidR="00FB1D2B" w:rsidRPr="00D81729" w:rsidRDefault="00FB1D2B" w:rsidP="00FB1D2B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D81729">
        <w:rPr>
          <w:rFonts w:ascii="Arial" w:hAnsi="Arial" w:cs="Arial"/>
          <w:b/>
          <w:bCs/>
          <w:sz w:val="18"/>
          <w:szCs w:val="18"/>
        </w:rPr>
        <w:t xml:space="preserve">Scale: </w:t>
      </w:r>
      <w:r w:rsidRPr="00D81729">
        <w:rPr>
          <w:rFonts w:ascii="Arial" w:hAnsi="Arial" w:cs="Arial"/>
          <w:bCs/>
          <w:sz w:val="18"/>
          <w:szCs w:val="18"/>
        </w:rPr>
        <w:t xml:space="preserve">1=Strongly </w:t>
      </w:r>
      <w:proofErr w:type="gramStart"/>
      <w:r w:rsidRPr="00D81729">
        <w:rPr>
          <w:rFonts w:ascii="Arial" w:hAnsi="Arial" w:cs="Arial"/>
          <w:bCs/>
          <w:sz w:val="18"/>
          <w:szCs w:val="18"/>
        </w:rPr>
        <w:t>Disagree  2</w:t>
      </w:r>
      <w:proofErr w:type="gramEnd"/>
      <w:r w:rsidRPr="00D81729">
        <w:rPr>
          <w:rFonts w:ascii="Arial" w:hAnsi="Arial" w:cs="Arial"/>
          <w:bCs/>
          <w:sz w:val="18"/>
          <w:szCs w:val="18"/>
        </w:rPr>
        <w:t xml:space="preserve">=Disagree </w:t>
      </w:r>
      <w:r w:rsidRPr="00D81729">
        <w:rPr>
          <w:rFonts w:ascii="Arial" w:hAnsi="Arial" w:cs="Arial"/>
          <w:bCs/>
          <w:sz w:val="18"/>
          <w:szCs w:val="18"/>
        </w:rPr>
        <w:tab/>
        <w:t xml:space="preserve">3=Agree   </w:t>
      </w:r>
      <w:r w:rsidRPr="00D81729">
        <w:rPr>
          <w:rFonts w:ascii="Arial" w:hAnsi="Arial" w:cs="Arial"/>
          <w:bCs/>
          <w:sz w:val="18"/>
          <w:szCs w:val="18"/>
        </w:rPr>
        <w:tab/>
        <w:t>4=Strongly Agree</w:t>
      </w:r>
    </w:p>
    <w:p w14:paraId="1003EB01" w14:textId="77777777" w:rsidR="00537058" w:rsidRPr="00005A99" w:rsidRDefault="00537058" w:rsidP="00005A99">
      <w:pPr>
        <w:rPr>
          <w:rFonts w:ascii="Arial" w:hAnsi="Arial" w:cs="Arial"/>
          <w:sz w:val="18"/>
          <w:szCs w:val="18"/>
        </w:rPr>
      </w:pPr>
    </w:p>
    <w:p w14:paraId="3FCF630F" w14:textId="77777777" w:rsidR="00D734BF" w:rsidRDefault="00D734BF" w:rsidP="00005A99">
      <w:pPr>
        <w:rPr>
          <w:rFonts w:ascii="Arial" w:hAnsi="Arial" w:cs="Arial"/>
          <w:sz w:val="18"/>
          <w:szCs w:val="18"/>
        </w:rPr>
      </w:pPr>
    </w:p>
    <w:sectPr w:rsidR="00D734BF" w:rsidSect="009D3EB7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DD65" w14:textId="77777777" w:rsidR="00A17813" w:rsidRDefault="00A17813" w:rsidP="008E6EC6">
      <w:r>
        <w:separator/>
      </w:r>
    </w:p>
  </w:endnote>
  <w:endnote w:type="continuationSeparator" w:id="0">
    <w:p w14:paraId="76E3BF6B" w14:textId="77777777" w:rsidR="00A17813" w:rsidRDefault="00A17813" w:rsidP="008E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5909E" w14:textId="77777777" w:rsidR="00A17813" w:rsidRDefault="00A17813" w:rsidP="008E6EC6">
      <w:r>
        <w:separator/>
      </w:r>
    </w:p>
  </w:footnote>
  <w:footnote w:type="continuationSeparator" w:id="0">
    <w:p w14:paraId="2F473614" w14:textId="77777777" w:rsidR="00A17813" w:rsidRDefault="00A17813" w:rsidP="008E6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371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5561CD" w14:textId="128C3FB8" w:rsidR="00480DE5" w:rsidRDefault="00480DE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6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8BB565" w14:textId="77777777" w:rsidR="007B35BE" w:rsidRDefault="007B3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3D8"/>
    <w:multiLevelType w:val="hybridMultilevel"/>
    <w:tmpl w:val="9DAA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00328"/>
    <w:multiLevelType w:val="hybridMultilevel"/>
    <w:tmpl w:val="73FE6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D25E4"/>
    <w:multiLevelType w:val="hybridMultilevel"/>
    <w:tmpl w:val="B2C6D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061278">
    <w:abstractNumId w:val="1"/>
  </w:num>
  <w:num w:numId="2" w16cid:durableId="218447281">
    <w:abstractNumId w:val="0"/>
  </w:num>
  <w:num w:numId="3" w16cid:durableId="1541283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31A"/>
    <w:rsid w:val="00005A99"/>
    <w:rsid w:val="00014588"/>
    <w:rsid w:val="00044762"/>
    <w:rsid w:val="000535F5"/>
    <w:rsid w:val="00063653"/>
    <w:rsid w:val="000734C5"/>
    <w:rsid w:val="00086428"/>
    <w:rsid w:val="00091160"/>
    <w:rsid w:val="000B3855"/>
    <w:rsid w:val="000C5E61"/>
    <w:rsid w:val="000C6C18"/>
    <w:rsid w:val="000D1699"/>
    <w:rsid w:val="000E2AD2"/>
    <w:rsid w:val="000E3060"/>
    <w:rsid w:val="000E46F0"/>
    <w:rsid w:val="000F6B05"/>
    <w:rsid w:val="000F6DCF"/>
    <w:rsid w:val="00100205"/>
    <w:rsid w:val="0010260B"/>
    <w:rsid w:val="00117857"/>
    <w:rsid w:val="00121985"/>
    <w:rsid w:val="00135532"/>
    <w:rsid w:val="00151172"/>
    <w:rsid w:val="001528DD"/>
    <w:rsid w:val="0017580F"/>
    <w:rsid w:val="0018022A"/>
    <w:rsid w:val="00180FA7"/>
    <w:rsid w:val="00187653"/>
    <w:rsid w:val="00190B46"/>
    <w:rsid w:val="001B07C8"/>
    <w:rsid w:val="001B0A3E"/>
    <w:rsid w:val="0020063E"/>
    <w:rsid w:val="00220C3A"/>
    <w:rsid w:val="00235E99"/>
    <w:rsid w:val="002538FB"/>
    <w:rsid w:val="00261629"/>
    <w:rsid w:val="002822DC"/>
    <w:rsid w:val="00287431"/>
    <w:rsid w:val="002A2B1E"/>
    <w:rsid w:val="002A4865"/>
    <w:rsid w:val="002B2415"/>
    <w:rsid w:val="002C66BC"/>
    <w:rsid w:val="002D0F2C"/>
    <w:rsid w:val="002D6479"/>
    <w:rsid w:val="002E350E"/>
    <w:rsid w:val="00330788"/>
    <w:rsid w:val="00340E2F"/>
    <w:rsid w:val="00344997"/>
    <w:rsid w:val="00392537"/>
    <w:rsid w:val="003A5D1E"/>
    <w:rsid w:val="003C06CC"/>
    <w:rsid w:val="003C1DDA"/>
    <w:rsid w:val="003C238F"/>
    <w:rsid w:val="003C3811"/>
    <w:rsid w:val="003C5858"/>
    <w:rsid w:val="003D44E5"/>
    <w:rsid w:val="003E292E"/>
    <w:rsid w:val="003E2B4A"/>
    <w:rsid w:val="003F0EC8"/>
    <w:rsid w:val="003F36CD"/>
    <w:rsid w:val="00411019"/>
    <w:rsid w:val="00417C38"/>
    <w:rsid w:val="00427C09"/>
    <w:rsid w:val="004471F5"/>
    <w:rsid w:val="00452CC8"/>
    <w:rsid w:val="00466977"/>
    <w:rsid w:val="00480DE5"/>
    <w:rsid w:val="004C1577"/>
    <w:rsid w:val="004E705E"/>
    <w:rsid w:val="004E7C22"/>
    <w:rsid w:val="00502F4B"/>
    <w:rsid w:val="005034EA"/>
    <w:rsid w:val="00525447"/>
    <w:rsid w:val="00536904"/>
    <w:rsid w:val="00537058"/>
    <w:rsid w:val="0054083E"/>
    <w:rsid w:val="00547761"/>
    <w:rsid w:val="00554CFC"/>
    <w:rsid w:val="00560C05"/>
    <w:rsid w:val="00561C3F"/>
    <w:rsid w:val="00584F2E"/>
    <w:rsid w:val="0058746D"/>
    <w:rsid w:val="00596712"/>
    <w:rsid w:val="005E6B77"/>
    <w:rsid w:val="005F0B42"/>
    <w:rsid w:val="005F0F6D"/>
    <w:rsid w:val="005F7218"/>
    <w:rsid w:val="0060202F"/>
    <w:rsid w:val="00605291"/>
    <w:rsid w:val="00622041"/>
    <w:rsid w:val="006222CB"/>
    <w:rsid w:val="00622365"/>
    <w:rsid w:val="006259A2"/>
    <w:rsid w:val="00626EEC"/>
    <w:rsid w:val="00633AB8"/>
    <w:rsid w:val="006400D4"/>
    <w:rsid w:val="00646FB7"/>
    <w:rsid w:val="006538B3"/>
    <w:rsid w:val="00663AC1"/>
    <w:rsid w:val="00663FE4"/>
    <w:rsid w:val="006723B2"/>
    <w:rsid w:val="0067334D"/>
    <w:rsid w:val="006A1395"/>
    <w:rsid w:val="006A3A4F"/>
    <w:rsid w:val="006A3F42"/>
    <w:rsid w:val="006A7E13"/>
    <w:rsid w:val="006C0DC7"/>
    <w:rsid w:val="006D0B95"/>
    <w:rsid w:val="006D3A1D"/>
    <w:rsid w:val="006E537F"/>
    <w:rsid w:val="006E5EE0"/>
    <w:rsid w:val="006F37F2"/>
    <w:rsid w:val="00703DEB"/>
    <w:rsid w:val="00717086"/>
    <w:rsid w:val="0072364D"/>
    <w:rsid w:val="00753329"/>
    <w:rsid w:val="0075580D"/>
    <w:rsid w:val="00756671"/>
    <w:rsid w:val="007723D0"/>
    <w:rsid w:val="00785C4F"/>
    <w:rsid w:val="007B04D1"/>
    <w:rsid w:val="007B35BE"/>
    <w:rsid w:val="007E153D"/>
    <w:rsid w:val="007F1B18"/>
    <w:rsid w:val="00804714"/>
    <w:rsid w:val="008118F7"/>
    <w:rsid w:val="008155E1"/>
    <w:rsid w:val="008177FB"/>
    <w:rsid w:val="00820D25"/>
    <w:rsid w:val="008303E1"/>
    <w:rsid w:val="00831F56"/>
    <w:rsid w:val="0084175A"/>
    <w:rsid w:val="008527B8"/>
    <w:rsid w:val="00864DE8"/>
    <w:rsid w:val="008B7484"/>
    <w:rsid w:val="008D01A6"/>
    <w:rsid w:val="008E6281"/>
    <w:rsid w:val="008E6EC6"/>
    <w:rsid w:val="008F238B"/>
    <w:rsid w:val="009358C5"/>
    <w:rsid w:val="00972F33"/>
    <w:rsid w:val="00994644"/>
    <w:rsid w:val="009B653F"/>
    <w:rsid w:val="009C4E74"/>
    <w:rsid w:val="009D2C9A"/>
    <w:rsid w:val="009D3EB7"/>
    <w:rsid w:val="009E73FA"/>
    <w:rsid w:val="00A00953"/>
    <w:rsid w:val="00A01CE3"/>
    <w:rsid w:val="00A02C6D"/>
    <w:rsid w:val="00A10A7E"/>
    <w:rsid w:val="00A17813"/>
    <w:rsid w:val="00A46626"/>
    <w:rsid w:val="00A94BE5"/>
    <w:rsid w:val="00AA43A9"/>
    <w:rsid w:val="00AC1CC5"/>
    <w:rsid w:val="00AE66C9"/>
    <w:rsid w:val="00AF4E48"/>
    <w:rsid w:val="00B00AA0"/>
    <w:rsid w:val="00B21BEF"/>
    <w:rsid w:val="00B32432"/>
    <w:rsid w:val="00B426B9"/>
    <w:rsid w:val="00B4767F"/>
    <w:rsid w:val="00B50BFB"/>
    <w:rsid w:val="00B65578"/>
    <w:rsid w:val="00B84D76"/>
    <w:rsid w:val="00B92010"/>
    <w:rsid w:val="00BA1735"/>
    <w:rsid w:val="00BB2576"/>
    <w:rsid w:val="00BB32EC"/>
    <w:rsid w:val="00BC4F3F"/>
    <w:rsid w:val="00BD1F7C"/>
    <w:rsid w:val="00C10BD3"/>
    <w:rsid w:val="00C1673D"/>
    <w:rsid w:val="00C22B95"/>
    <w:rsid w:val="00C2559A"/>
    <w:rsid w:val="00C34CC4"/>
    <w:rsid w:val="00C3655F"/>
    <w:rsid w:val="00C55F30"/>
    <w:rsid w:val="00C7353C"/>
    <w:rsid w:val="00CB41A8"/>
    <w:rsid w:val="00CB6DC8"/>
    <w:rsid w:val="00CC06CC"/>
    <w:rsid w:val="00CE3F36"/>
    <w:rsid w:val="00D14087"/>
    <w:rsid w:val="00D418AF"/>
    <w:rsid w:val="00D734BF"/>
    <w:rsid w:val="00D81729"/>
    <w:rsid w:val="00D82F15"/>
    <w:rsid w:val="00DC0583"/>
    <w:rsid w:val="00DD29F2"/>
    <w:rsid w:val="00DE2482"/>
    <w:rsid w:val="00DE5199"/>
    <w:rsid w:val="00E01B4D"/>
    <w:rsid w:val="00E06A8D"/>
    <w:rsid w:val="00E14920"/>
    <w:rsid w:val="00E22A9D"/>
    <w:rsid w:val="00E5102E"/>
    <w:rsid w:val="00E60440"/>
    <w:rsid w:val="00E60B8A"/>
    <w:rsid w:val="00E73F52"/>
    <w:rsid w:val="00E8531A"/>
    <w:rsid w:val="00E87895"/>
    <w:rsid w:val="00E91805"/>
    <w:rsid w:val="00EA3626"/>
    <w:rsid w:val="00EB752B"/>
    <w:rsid w:val="00EF3274"/>
    <w:rsid w:val="00EF3E62"/>
    <w:rsid w:val="00EF44EF"/>
    <w:rsid w:val="00F01D3C"/>
    <w:rsid w:val="00F1082D"/>
    <w:rsid w:val="00F22A30"/>
    <w:rsid w:val="00F34ECC"/>
    <w:rsid w:val="00F63C72"/>
    <w:rsid w:val="00F66199"/>
    <w:rsid w:val="00F67F85"/>
    <w:rsid w:val="00F8538F"/>
    <w:rsid w:val="00F9190D"/>
    <w:rsid w:val="00F92F53"/>
    <w:rsid w:val="00FA37D3"/>
    <w:rsid w:val="00FA6528"/>
    <w:rsid w:val="00FA7697"/>
    <w:rsid w:val="00FB0623"/>
    <w:rsid w:val="00FB1D2B"/>
    <w:rsid w:val="00FB210B"/>
    <w:rsid w:val="00FD7704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82160"/>
  <w15:docId w15:val="{79EFC3E5-7AAD-4D4E-9191-11B797E4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9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6E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EC6"/>
  </w:style>
  <w:style w:type="paragraph" w:styleId="Footer">
    <w:name w:val="footer"/>
    <w:basedOn w:val="Normal"/>
    <w:link w:val="FooterChar"/>
    <w:uiPriority w:val="99"/>
    <w:unhideWhenUsed/>
    <w:rsid w:val="008E6E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EC6"/>
  </w:style>
  <w:style w:type="paragraph" w:customStyle="1" w:styleId="TableParagraph">
    <w:name w:val="Table Paragraph"/>
    <w:basedOn w:val="Normal"/>
    <w:uiPriority w:val="1"/>
    <w:qFormat/>
    <w:rsid w:val="00EF3E62"/>
    <w:pPr>
      <w:widowControl w:val="0"/>
      <w:spacing w:before="56"/>
      <w:ind w:right="399"/>
      <w:jc w:val="center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23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6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6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64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4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A8C851148684089767F7CB53C56F6" ma:contentTypeVersion="13" ma:contentTypeDescription="Create a new document." ma:contentTypeScope="" ma:versionID="1f0917f7e7e66bdf677be1f2b091d941">
  <xsd:schema xmlns:xsd="http://www.w3.org/2001/XMLSchema" xmlns:xs="http://www.w3.org/2001/XMLSchema" xmlns:p="http://schemas.microsoft.com/office/2006/metadata/properties" xmlns:ns3="0defb6a5-8f5e-4921-8765-01633ea9efb2" xmlns:ns4="48e5bf77-3eb8-45f1-add8-1d9abf07d988" targetNamespace="http://schemas.microsoft.com/office/2006/metadata/properties" ma:root="true" ma:fieldsID="46984b128e28bc00f94258786cae2d05" ns3:_="" ns4:_="">
    <xsd:import namespace="0defb6a5-8f5e-4921-8765-01633ea9efb2"/>
    <xsd:import namespace="48e5bf77-3eb8-45f1-add8-1d9abf07d9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b6a5-8f5e-4921-8765-01633ea9e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5bf77-3eb8-45f1-add8-1d9abf07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78767-B8B2-4715-BF58-43EDA855E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b6a5-8f5e-4921-8765-01633ea9efb2"/>
    <ds:schemaRef ds:uri="48e5bf77-3eb8-45f1-add8-1d9abf07d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CEFFC-93A2-448C-9ABC-E162450F29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790A6-ED1E-423C-A7C1-6D38C02CCF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626036-4976-4F3E-8FE4-CB87A8B66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Herrington</dc:creator>
  <cp:lastModifiedBy>Xin Liang</cp:lastModifiedBy>
  <cp:revision>21</cp:revision>
  <cp:lastPrinted>2016-06-07T13:10:00Z</cp:lastPrinted>
  <dcterms:created xsi:type="dcterms:W3CDTF">2022-03-03T16:32:00Z</dcterms:created>
  <dcterms:modified xsi:type="dcterms:W3CDTF">2023-04-16T15:55:00Z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0x0101007A7A8C851148684089767F7CB53C56F6</vt:lpwstr>
  </property>
</Properties>
</file>